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B" w:rsidRPr="005E6CCE" w:rsidRDefault="0056362B" w:rsidP="00E74563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E6CCE">
        <w:rPr>
          <w:rFonts w:ascii="黑体" w:eastAsia="黑体" w:hAnsi="黑体" w:hint="eastAsia"/>
          <w:b/>
          <w:sz w:val="32"/>
          <w:szCs w:val="32"/>
        </w:rPr>
        <w:t>中国经济改革研究基金会</w:t>
      </w:r>
    </w:p>
    <w:p w:rsidR="0056362B" w:rsidRPr="005E6CCE" w:rsidRDefault="0056362B" w:rsidP="00E74563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E6CCE">
        <w:rPr>
          <w:rFonts w:ascii="黑体" w:eastAsia="黑体" w:hAnsi="黑体" w:hint="eastAsia"/>
          <w:b/>
          <w:sz w:val="32"/>
          <w:szCs w:val="32"/>
        </w:rPr>
        <w:t>2016年资助社会招标课题说明</w:t>
      </w:r>
    </w:p>
    <w:p w:rsidR="0056362B" w:rsidRPr="005E6CCE" w:rsidRDefault="0056362B" w:rsidP="00E74563">
      <w:pPr>
        <w:spacing w:line="5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56362B" w:rsidRPr="007A5B3D" w:rsidRDefault="0056362B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中国经济改革研究基金会是专门资助与中国经济发展、经济改革有关研究活动的学术性社团。每年面向社会</w:t>
      </w:r>
      <w:r w:rsidR="009E7B8B" w:rsidRPr="007A5B3D">
        <w:rPr>
          <w:rFonts w:ascii="仿宋_GB2312" w:eastAsia="仿宋_GB2312" w:hAnsiTheme="minorEastAsia" w:hint="eastAsia"/>
          <w:sz w:val="28"/>
          <w:szCs w:val="28"/>
        </w:rPr>
        <w:t>，</w:t>
      </w:r>
      <w:r w:rsidRPr="007A5B3D">
        <w:rPr>
          <w:rFonts w:ascii="仿宋_GB2312" w:eastAsia="仿宋_GB2312" w:hAnsiTheme="minorEastAsia" w:hint="eastAsia"/>
          <w:sz w:val="28"/>
          <w:szCs w:val="28"/>
        </w:rPr>
        <w:t>资助研究机构和个人进行与当前经济改革与发展有关的课题研究。资助特点是以“短期项目”为主，</w:t>
      </w:r>
      <w:r w:rsidR="009E7B8B" w:rsidRPr="007A5B3D">
        <w:rPr>
          <w:rFonts w:ascii="仿宋_GB2312" w:eastAsia="仿宋_GB2312" w:hAnsiTheme="minorEastAsia" w:hint="eastAsia"/>
          <w:sz w:val="28"/>
          <w:szCs w:val="28"/>
        </w:rPr>
        <w:t>中标的研究机构或个人应</w:t>
      </w:r>
      <w:r w:rsidRPr="007A5B3D">
        <w:rPr>
          <w:rFonts w:ascii="仿宋_GB2312" w:eastAsia="仿宋_GB2312" w:hAnsiTheme="minorEastAsia" w:hint="eastAsia"/>
          <w:sz w:val="28"/>
          <w:szCs w:val="28"/>
        </w:rPr>
        <w:t>在一年内完成</w:t>
      </w:r>
      <w:r w:rsidR="009E7B8B" w:rsidRPr="007A5B3D">
        <w:rPr>
          <w:rFonts w:ascii="仿宋_GB2312" w:eastAsia="仿宋_GB2312" w:hAnsiTheme="minorEastAsia" w:hint="eastAsia"/>
          <w:sz w:val="28"/>
          <w:szCs w:val="28"/>
        </w:rPr>
        <w:t>课题，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提交研究成果。面临“十三五”开局之年的新形势，经基金会学术委员会建议、基金会学术部办公会议审议，确定了2016年</w:t>
      </w:r>
      <w:r w:rsidR="009E7B8B" w:rsidRPr="007A5B3D">
        <w:rPr>
          <w:rFonts w:ascii="仿宋_GB2312" w:eastAsia="仿宋_GB2312" w:hAnsiTheme="minorEastAsia" w:hint="eastAsia"/>
          <w:sz w:val="28"/>
          <w:szCs w:val="28"/>
        </w:rPr>
        <w:t>向</w:t>
      </w:r>
      <w:r w:rsidRPr="007A5B3D">
        <w:rPr>
          <w:rFonts w:ascii="仿宋_GB2312" w:eastAsia="仿宋_GB2312" w:hAnsiTheme="minorEastAsia" w:hint="eastAsia"/>
          <w:sz w:val="28"/>
          <w:szCs w:val="28"/>
        </w:rPr>
        <w:t>社会招标的10个资助项目。</w:t>
      </w:r>
    </w:p>
    <w:p w:rsidR="00741239" w:rsidRPr="007A5B3D" w:rsidRDefault="00741239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:rsidR="00084611" w:rsidRPr="007A5B3D" w:rsidRDefault="00084611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一、“十三五”时期，金融市场化改革对监管体制的挑战（资助金额</w:t>
      </w:r>
      <w:r w:rsidR="00BB4900" w:rsidRPr="007A5B3D">
        <w:rPr>
          <w:rFonts w:ascii="仿宋_GB2312" w:eastAsia="仿宋_GB2312" w:hAnsiTheme="minorEastAsia" w:hint="eastAsia"/>
          <w:b/>
          <w:sz w:val="28"/>
          <w:szCs w:val="28"/>
        </w:rPr>
        <w:t>15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万</w:t>
      </w:r>
      <w:r w:rsidR="003E6B26" w:rsidRPr="007A5B3D">
        <w:rPr>
          <w:rFonts w:ascii="仿宋_GB2312" w:eastAsia="仿宋_GB2312" w:hAnsiTheme="minorEastAsia" w:hint="eastAsia"/>
          <w:b/>
          <w:sz w:val="28"/>
          <w:szCs w:val="28"/>
        </w:rPr>
        <w:t>元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）</w:t>
      </w:r>
    </w:p>
    <w:p w:rsidR="00084611" w:rsidRPr="007A5B3D" w:rsidRDefault="00B46241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中国金融体制市场化改革不断深化，金融体系对外开放程度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不断提高</w:t>
      </w:r>
      <w:r w:rsidRPr="007A5B3D">
        <w:rPr>
          <w:rFonts w:ascii="仿宋_GB2312" w:eastAsia="仿宋_GB2312" w:hAnsiTheme="minorEastAsia" w:hint="eastAsia"/>
          <w:sz w:val="28"/>
          <w:szCs w:val="28"/>
        </w:rPr>
        <w:t>，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同时监管体制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暴露的问题日益突出：金融监管部门缺乏对整体风险的把握，相互间缺乏有效的协调机制，部门间的竞争造成了一些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越位、错位和缺位</w:t>
      </w:r>
      <w:r w:rsidRPr="007A5B3D">
        <w:rPr>
          <w:rFonts w:ascii="仿宋_GB2312" w:eastAsia="仿宋_GB2312" w:hAnsiTheme="minorEastAsia" w:hint="eastAsia"/>
          <w:sz w:val="28"/>
          <w:szCs w:val="28"/>
        </w:rPr>
        <w:t>问题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；对金融系统开放、资本账户自由化过程中的</w:t>
      </w:r>
      <w:r w:rsidRPr="007A5B3D">
        <w:rPr>
          <w:rFonts w:ascii="仿宋_GB2312" w:eastAsia="仿宋_GB2312" w:hAnsiTheme="minorEastAsia" w:hint="eastAsia"/>
          <w:sz w:val="28"/>
          <w:szCs w:val="28"/>
        </w:rPr>
        <w:t>风险缺乏应有的警惕；利益集团对金融监管的影响较大，尤其在监管相对薄弱的领域，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如互联网金融、保险、债券市场</w:t>
      </w:r>
      <w:r w:rsidRPr="007A5B3D">
        <w:rPr>
          <w:rFonts w:ascii="仿宋_GB2312" w:eastAsia="仿宋_GB2312" w:hAnsiTheme="minorEastAsia" w:hint="eastAsia"/>
          <w:sz w:val="28"/>
          <w:szCs w:val="28"/>
        </w:rPr>
        <w:t>等，出现了“监管套利”，可能酝酿潜在的风险。近期发生的股市、汇市动荡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，</w:t>
      </w:r>
      <w:r w:rsidRPr="007A5B3D">
        <w:rPr>
          <w:rFonts w:ascii="仿宋_GB2312" w:eastAsia="仿宋_GB2312" w:hAnsiTheme="minorEastAsia" w:hint="eastAsia"/>
          <w:sz w:val="28"/>
          <w:szCs w:val="28"/>
        </w:rPr>
        <w:t>金融监管体制不仅未能预警风险，反而放大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风险，甚至</w:t>
      </w:r>
      <w:r w:rsidRPr="007A5B3D">
        <w:rPr>
          <w:rFonts w:ascii="仿宋_GB2312" w:eastAsia="仿宋_GB2312" w:hAnsiTheme="minorEastAsia" w:hint="eastAsia"/>
          <w:sz w:val="28"/>
          <w:szCs w:val="28"/>
        </w:rPr>
        <w:t>影响到市场信心和对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政府驾驭</w:t>
      </w:r>
      <w:r w:rsidRPr="007A5B3D">
        <w:rPr>
          <w:rFonts w:ascii="仿宋_GB2312" w:eastAsia="仿宋_GB2312" w:hAnsiTheme="minorEastAsia" w:hint="eastAsia"/>
          <w:sz w:val="28"/>
          <w:szCs w:val="28"/>
        </w:rPr>
        <w:t>金融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管理的信心。</w:t>
      </w:r>
    </w:p>
    <w:p w:rsidR="00084611" w:rsidRPr="007A5B3D" w:rsidRDefault="00084611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084611" w:rsidRPr="007A5B3D" w:rsidRDefault="00474ECD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1、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全球金融监管的</w:t>
      </w:r>
      <w:r w:rsidR="00B46241" w:rsidRPr="007A5B3D">
        <w:rPr>
          <w:rFonts w:ascii="仿宋_GB2312" w:eastAsia="仿宋_GB2312" w:hAnsiTheme="minorEastAsia" w:hint="eastAsia"/>
          <w:sz w:val="28"/>
          <w:szCs w:val="28"/>
        </w:rPr>
        <w:t>历史经验和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最新</w:t>
      </w:r>
      <w:r w:rsidR="00B46241" w:rsidRPr="007A5B3D">
        <w:rPr>
          <w:rFonts w:ascii="仿宋_GB2312" w:eastAsia="仿宋_GB2312" w:hAnsiTheme="minorEastAsia" w:hint="eastAsia"/>
          <w:sz w:val="28"/>
          <w:szCs w:val="28"/>
        </w:rPr>
        <w:t>发展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趋势。</w:t>
      </w:r>
    </w:p>
    <w:p w:rsidR="00084611" w:rsidRPr="007A5B3D" w:rsidRDefault="00474ECD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</w:t>
      </w:r>
      <w:r w:rsidR="002D3B76" w:rsidRPr="007A5B3D">
        <w:rPr>
          <w:rFonts w:ascii="仿宋_GB2312" w:eastAsia="仿宋_GB2312" w:hAnsiTheme="minorEastAsia" w:hint="eastAsia"/>
          <w:sz w:val="28"/>
          <w:szCs w:val="28"/>
        </w:rPr>
        <w:t>去产能、去库存、去杠杆过程中我国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金融体系可能存在的局部和系统风险。</w:t>
      </w:r>
    </w:p>
    <w:p w:rsidR="00084611" w:rsidRPr="007A5B3D" w:rsidRDefault="00474ECD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综合考虑经济</w:t>
      </w:r>
      <w:r w:rsidR="002D3B76" w:rsidRPr="007A5B3D">
        <w:rPr>
          <w:rFonts w:ascii="仿宋_GB2312" w:eastAsia="仿宋_GB2312" w:hAnsiTheme="minorEastAsia" w:hint="eastAsia"/>
          <w:sz w:val="28"/>
          <w:szCs w:val="28"/>
        </w:rPr>
        <w:t>社会等因素，综合提出改革金融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监管体制的可行</w:t>
      </w:r>
      <w:r w:rsidR="002D3B76" w:rsidRPr="007A5B3D">
        <w:rPr>
          <w:rFonts w:ascii="仿宋_GB2312" w:eastAsia="仿宋_GB2312" w:hAnsiTheme="minorEastAsia" w:hint="eastAsia"/>
          <w:sz w:val="28"/>
          <w:szCs w:val="28"/>
        </w:rPr>
        <w:t>性方</w:t>
      </w:r>
      <w:r w:rsidR="00084611" w:rsidRPr="007A5B3D">
        <w:rPr>
          <w:rFonts w:ascii="仿宋_GB2312" w:eastAsia="仿宋_GB2312" w:hAnsiTheme="minorEastAsia" w:hint="eastAsia"/>
          <w:sz w:val="28"/>
          <w:szCs w:val="28"/>
        </w:rPr>
        <w:t>案。</w:t>
      </w:r>
    </w:p>
    <w:p w:rsidR="00295240" w:rsidRPr="007A5B3D" w:rsidRDefault="00295240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2D3B76" w:rsidRPr="007A5B3D" w:rsidRDefault="002D3B76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二、“十三五”时期国际金融风险预测及中国金融开放进程选择（资助金额</w:t>
      </w:r>
      <w:r w:rsidR="00BB4900" w:rsidRPr="007A5B3D">
        <w:rPr>
          <w:rFonts w:ascii="仿宋_GB2312" w:eastAsia="仿宋_GB2312" w:hAnsiTheme="minorEastAsia" w:hint="eastAsia"/>
          <w:b/>
          <w:sz w:val="28"/>
          <w:szCs w:val="28"/>
        </w:rPr>
        <w:t>15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万元）</w:t>
      </w:r>
    </w:p>
    <w:p w:rsidR="002D3B76" w:rsidRPr="007A5B3D" w:rsidRDefault="00474ECD" w:rsidP="00E74563">
      <w:pPr>
        <w:tabs>
          <w:tab w:val="left" w:pos="6315"/>
        </w:tabs>
        <w:spacing w:line="500" w:lineRule="exact"/>
        <w:ind w:firstLine="60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中国已经启动了金融开放的准备工作，</w:t>
      </w:r>
      <w:r w:rsidR="002D3B76" w:rsidRPr="007A5B3D">
        <w:rPr>
          <w:rFonts w:ascii="仿宋_GB2312" w:eastAsia="仿宋_GB2312" w:hAnsiTheme="minorEastAsia" w:hint="eastAsia"/>
          <w:sz w:val="28"/>
          <w:szCs w:val="28"/>
        </w:rPr>
        <w:t>人民币加入国际货币基金组织特别提款权货币篮子</w:t>
      </w:r>
      <w:r w:rsidR="00196056" w:rsidRPr="007A5B3D">
        <w:rPr>
          <w:rFonts w:ascii="仿宋_GB2312" w:eastAsia="仿宋_GB2312" w:hAnsiTheme="minorEastAsia" w:hint="eastAsia"/>
          <w:sz w:val="28"/>
          <w:szCs w:val="28"/>
        </w:rPr>
        <w:t>（</w:t>
      </w:r>
      <w:r w:rsidR="002D3B76" w:rsidRPr="007A5B3D">
        <w:rPr>
          <w:rFonts w:ascii="仿宋_GB2312" w:eastAsia="仿宋_GB2312" w:hAnsiTheme="minorEastAsia" w:hint="eastAsia"/>
          <w:sz w:val="28"/>
          <w:szCs w:val="28"/>
        </w:rPr>
        <w:t>SRD）</w:t>
      </w:r>
      <w:r w:rsidR="00196056" w:rsidRPr="007A5B3D">
        <w:rPr>
          <w:rFonts w:ascii="仿宋_GB2312" w:eastAsia="仿宋_GB2312" w:hAnsiTheme="minorEastAsia" w:hint="eastAsia"/>
          <w:sz w:val="28"/>
          <w:szCs w:val="28"/>
        </w:rPr>
        <w:t>，是中国金融“入世”的重大标志性事件。中国金融的国际化进程也使国际金融波动对国内的影响增大。美联储加息以及美欧日等发达国际的币值变动</w:t>
      </w:r>
      <w:r w:rsidRPr="007A5B3D">
        <w:rPr>
          <w:rFonts w:ascii="仿宋_GB2312" w:eastAsia="仿宋_GB2312" w:hAnsiTheme="minorEastAsia" w:hint="eastAsia"/>
          <w:sz w:val="28"/>
          <w:szCs w:val="28"/>
        </w:rPr>
        <w:t>、股市波动都将对中国的国内金融稳定造很大</w:t>
      </w:r>
      <w:r w:rsidR="00196056" w:rsidRPr="007A5B3D">
        <w:rPr>
          <w:rFonts w:ascii="仿宋_GB2312" w:eastAsia="仿宋_GB2312" w:hAnsiTheme="minorEastAsia" w:hint="eastAsia"/>
          <w:sz w:val="28"/>
          <w:szCs w:val="28"/>
        </w:rPr>
        <w:t>的影响。</w:t>
      </w:r>
    </w:p>
    <w:p w:rsidR="00474ECD" w:rsidRPr="007A5B3D" w:rsidRDefault="00474ECD" w:rsidP="00E74563">
      <w:pPr>
        <w:tabs>
          <w:tab w:val="left" w:pos="6315"/>
        </w:tabs>
        <w:spacing w:line="500" w:lineRule="exact"/>
        <w:ind w:firstLine="60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474ECD" w:rsidRPr="007A5B3D" w:rsidRDefault="00474ECD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1、“十三五”时期，美欧等发达国家是否会发生新一轮金融危机？</w:t>
      </w:r>
    </w:p>
    <w:p w:rsidR="00474ECD" w:rsidRPr="007A5B3D" w:rsidRDefault="00474ECD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2、在现有金融</w:t>
      </w:r>
      <w:r w:rsidR="00207E74" w:rsidRPr="007A5B3D">
        <w:rPr>
          <w:rFonts w:ascii="仿宋_GB2312" w:eastAsia="仿宋_GB2312" w:hAnsiTheme="minorEastAsia" w:hint="eastAsia"/>
          <w:sz w:val="28"/>
          <w:szCs w:val="28"/>
        </w:rPr>
        <w:t>监管及金融政策</w:t>
      </w:r>
      <w:r w:rsidR="00741239" w:rsidRPr="007A5B3D">
        <w:rPr>
          <w:rFonts w:ascii="仿宋_GB2312" w:eastAsia="仿宋_GB2312" w:hAnsiTheme="minorEastAsia" w:hint="eastAsia"/>
          <w:sz w:val="28"/>
          <w:szCs w:val="28"/>
        </w:rPr>
        <w:t>条件下，国际金融危机对中国金融稳定的影响。</w:t>
      </w:r>
    </w:p>
    <w:p w:rsidR="00741239" w:rsidRPr="007A5B3D" w:rsidRDefault="00741239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</w:t>
      </w:r>
      <w:r w:rsidR="00207E74" w:rsidRPr="007A5B3D">
        <w:rPr>
          <w:rFonts w:ascii="仿宋_GB2312" w:eastAsia="仿宋_GB2312" w:hAnsiTheme="minorEastAsia" w:hint="eastAsia"/>
          <w:sz w:val="28"/>
          <w:szCs w:val="28"/>
        </w:rPr>
        <w:t>评估国际金融动荡背景下的中国金融服务业开放政策；提出</w:t>
      </w:r>
      <w:r w:rsidRPr="007A5B3D">
        <w:rPr>
          <w:rFonts w:ascii="仿宋_GB2312" w:eastAsia="仿宋_GB2312" w:hAnsiTheme="minorEastAsia" w:hint="eastAsia"/>
          <w:sz w:val="28"/>
          <w:szCs w:val="28"/>
        </w:rPr>
        <w:t>开放金融服务业的步骤和中国金融业“走出去”的步骤。</w:t>
      </w:r>
    </w:p>
    <w:p w:rsidR="00295240" w:rsidRPr="007A5B3D" w:rsidRDefault="00295240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741239" w:rsidRPr="007A5B3D" w:rsidRDefault="00741239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三、“十三五”时期收入分配格局的变化及其对经济社会的影响（资助金额</w:t>
      </w:r>
      <w:r w:rsidR="00E74563" w:rsidRPr="007A5B3D">
        <w:rPr>
          <w:rFonts w:ascii="仿宋_GB2312" w:eastAsia="仿宋_GB2312" w:hAnsiTheme="minorEastAsia" w:hint="eastAsia"/>
          <w:b/>
          <w:sz w:val="28"/>
          <w:szCs w:val="28"/>
        </w:rPr>
        <w:t>15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万元）</w:t>
      </w:r>
    </w:p>
    <w:p w:rsidR="00EF2880" w:rsidRPr="007A5B3D" w:rsidRDefault="00207E74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中国经济增长率逐年</w:t>
      </w:r>
      <w:r w:rsidR="00741239" w:rsidRPr="007A5B3D">
        <w:rPr>
          <w:rFonts w:ascii="仿宋_GB2312" w:eastAsia="仿宋_GB2312" w:hAnsiTheme="minorEastAsia" w:hint="eastAsia"/>
          <w:sz w:val="28"/>
          <w:szCs w:val="28"/>
        </w:rPr>
        <w:t>下降，经济结构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深度调整，将对收入分配造成巨大</w:t>
      </w:r>
      <w:r w:rsidR="00741239" w:rsidRPr="007A5B3D">
        <w:rPr>
          <w:rFonts w:ascii="仿宋_GB2312" w:eastAsia="仿宋_GB2312" w:hAnsiTheme="minorEastAsia" w:hint="eastAsia"/>
          <w:sz w:val="28"/>
          <w:szCs w:val="28"/>
        </w:rPr>
        <w:t>影响。经济增长率放缓可能导致资本收益的增长率高于劳动收入的增长率，加剧财富集中。制造业升级换代可能导致机器替代劳动。服务业领域可能出现高技能劳动者和低技</w:t>
      </w:r>
      <w:r w:rsidRPr="007A5B3D">
        <w:rPr>
          <w:rFonts w:ascii="仿宋_GB2312" w:eastAsia="仿宋_GB2312" w:hAnsiTheme="minorEastAsia" w:hint="eastAsia"/>
          <w:sz w:val="28"/>
          <w:szCs w:val="28"/>
        </w:rPr>
        <w:t>能劳动者的分化。在经济增长放缓期间，收入分配的变化将</w:t>
      </w:r>
      <w:r w:rsidR="00EF2880" w:rsidRPr="007A5B3D">
        <w:rPr>
          <w:rFonts w:ascii="仿宋_GB2312" w:eastAsia="仿宋_GB2312" w:hAnsiTheme="minorEastAsia" w:hint="eastAsia"/>
          <w:sz w:val="28"/>
          <w:szCs w:val="28"/>
        </w:rPr>
        <w:t>影响到既得利益格局的调整</w:t>
      </w:r>
      <w:r w:rsidRPr="007A5B3D">
        <w:rPr>
          <w:rFonts w:ascii="仿宋_GB2312" w:eastAsia="仿宋_GB2312" w:hAnsiTheme="minorEastAsia" w:hint="eastAsia"/>
          <w:sz w:val="28"/>
          <w:szCs w:val="28"/>
        </w:rPr>
        <w:t>，并影响社会稳定</w:t>
      </w:r>
      <w:r w:rsidR="00741239" w:rsidRPr="007A5B3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F2880" w:rsidRPr="007A5B3D" w:rsidRDefault="00EF2880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EF2880" w:rsidRPr="007A5B3D" w:rsidRDefault="00EF2880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1、</w:t>
      </w:r>
      <w:r w:rsidR="00207E74" w:rsidRPr="007A5B3D">
        <w:rPr>
          <w:rFonts w:ascii="仿宋_GB2312" w:eastAsia="仿宋_GB2312" w:hAnsiTheme="minorEastAsia" w:hint="eastAsia"/>
          <w:sz w:val="28"/>
          <w:szCs w:val="28"/>
        </w:rPr>
        <w:t>“去产能、降成本”背景下，劳动报酬与资本收益关系</w:t>
      </w:r>
      <w:r w:rsidRPr="007A5B3D">
        <w:rPr>
          <w:rFonts w:ascii="仿宋_GB2312" w:eastAsia="仿宋_GB2312" w:hAnsiTheme="minorEastAsia" w:hint="eastAsia"/>
          <w:sz w:val="28"/>
          <w:szCs w:val="28"/>
        </w:rPr>
        <w:t>的变动趋势。</w:t>
      </w:r>
    </w:p>
    <w:p w:rsidR="007A313F" w:rsidRPr="007A5B3D" w:rsidRDefault="00EF2880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</w:t>
      </w:r>
      <w:r w:rsidR="007A313F" w:rsidRPr="007A5B3D">
        <w:rPr>
          <w:rFonts w:ascii="仿宋_GB2312" w:eastAsia="仿宋_GB2312" w:hAnsiTheme="minorEastAsia" w:hint="eastAsia"/>
          <w:sz w:val="28"/>
          <w:szCs w:val="28"/>
        </w:rPr>
        <w:t>经济发展降速，经济结构调整期间，国民收入在政府、企业、</w:t>
      </w:r>
      <w:r w:rsidR="007A313F" w:rsidRPr="007A5B3D">
        <w:rPr>
          <w:rFonts w:ascii="仿宋_GB2312" w:eastAsia="仿宋_GB2312" w:hAnsiTheme="minorEastAsia" w:hint="eastAsia"/>
          <w:sz w:val="28"/>
          <w:szCs w:val="28"/>
        </w:rPr>
        <w:lastRenderedPageBreak/>
        <w:t>居民三者间分配比例变动趋势。</w:t>
      </w:r>
    </w:p>
    <w:p w:rsidR="007A313F" w:rsidRPr="007A5B3D" w:rsidRDefault="007A313F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3、“十三五”时期，城乡、行业、区域间收入分配格局的变动趋势。</w:t>
      </w:r>
    </w:p>
    <w:p w:rsidR="00741239" w:rsidRPr="007A5B3D" w:rsidRDefault="007A313F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4、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针对以上收入分配的变动趋势，提出</w:t>
      </w:r>
      <w:r w:rsidR="00207E74" w:rsidRPr="007A5B3D">
        <w:rPr>
          <w:rFonts w:ascii="仿宋_GB2312" w:eastAsia="仿宋_GB2312" w:hAnsiTheme="minorEastAsia" w:hint="eastAsia"/>
          <w:sz w:val="28"/>
          <w:szCs w:val="28"/>
        </w:rPr>
        <w:t>“十三五”期间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深化收入分配体制改革</w:t>
      </w:r>
      <w:r w:rsidR="00207E74" w:rsidRPr="007A5B3D">
        <w:rPr>
          <w:rFonts w:ascii="仿宋_GB2312" w:eastAsia="仿宋_GB2312" w:hAnsiTheme="minorEastAsia" w:hint="eastAsia"/>
          <w:sz w:val="28"/>
          <w:szCs w:val="28"/>
        </w:rPr>
        <w:t>重点和相关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政策建议。</w:t>
      </w:r>
    </w:p>
    <w:p w:rsidR="00295240" w:rsidRPr="007A5B3D" w:rsidRDefault="00295240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3E6B26" w:rsidRPr="007A5B3D" w:rsidRDefault="003E6B26" w:rsidP="00E74563">
      <w:pPr>
        <w:tabs>
          <w:tab w:val="left" w:pos="631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四、收入再分配政策的国际比较研究（</w:t>
      </w:r>
      <w:r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资助金额</w:t>
      </w:r>
      <w:r w:rsidR="00E74563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15</w:t>
      </w:r>
      <w:r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万元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ab/>
      </w:r>
    </w:p>
    <w:p w:rsidR="003E6B26" w:rsidRPr="007A5B3D" w:rsidRDefault="0017042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中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国收入差距过大的一个重要原因是缺少有效的收入再分配政策调节。一些发达国家形成了值得借鉴的收入再分配政策体系，他们</w:t>
      </w:r>
      <w:r w:rsidRPr="007A5B3D">
        <w:rPr>
          <w:rFonts w:ascii="仿宋_GB2312" w:eastAsia="仿宋_GB2312" w:hAnsiTheme="minorEastAsia" w:hint="eastAsia"/>
          <w:sz w:val="28"/>
          <w:szCs w:val="28"/>
        </w:rPr>
        <w:t>通过税收和社会保障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，使一次分配的基尼系数下降了20-25个百分点，而中国</w:t>
      </w:r>
      <w:r w:rsidR="00CA1092" w:rsidRPr="007A5B3D">
        <w:rPr>
          <w:rFonts w:ascii="仿宋_GB2312" w:eastAsia="仿宋_GB2312" w:hAnsiTheme="minorEastAsia" w:hint="eastAsia"/>
          <w:sz w:val="28"/>
          <w:szCs w:val="28"/>
        </w:rPr>
        <w:t>收入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再分配对缩小一次分配差距</w:t>
      </w:r>
      <w:r w:rsidR="00DE3DBA" w:rsidRPr="007A5B3D">
        <w:rPr>
          <w:rFonts w:ascii="仿宋_GB2312" w:eastAsia="仿宋_GB2312" w:hAnsiTheme="minorEastAsia" w:hint="eastAsia"/>
          <w:sz w:val="28"/>
          <w:szCs w:val="28"/>
        </w:rPr>
        <w:t>的作用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几乎可以忽略不计</w:t>
      </w:r>
      <w:r w:rsidRPr="007A5B3D">
        <w:rPr>
          <w:rFonts w:ascii="仿宋_GB2312" w:eastAsia="仿宋_GB2312" w:hAnsiTheme="minorEastAsia" w:hint="eastAsia"/>
          <w:sz w:val="28"/>
          <w:szCs w:val="28"/>
        </w:rPr>
        <w:t>。对收入再分配政策及其效果加以国际比较，对于完善中</w:t>
      </w:r>
      <w:r w:rsidR="00CA1092" w:rsidRPr="007A5B3D">
        <w:rPr>
          <w:rFonts w:ascii="仿宋_GB2312" w:eastAsia="仿宋_GB2312" w:hAnsiTheme="minorEastAsia" w:hint="eastAsia"/>
          <w:sz w:val="28"/>
          <w:szCs w:val="28"/>
        </w:rPr>
        <w:t>国的收入再分配</w:t>
      </w:r>
      <w:r w:rsidR="00DE3DBA" w:rsidRPr="007A5B3D">
        <w:rPr>
          <w:rFonts w:ascii="仿宋_GB2312" w:eastAsia="仿宋_GB2312" w:hAnsiTheme="minorEastAsia" w:hint="eastAsia"/>
          <w:sz w:val="28"/>
          <w:szCs w:val="28"/>
        </w:rPr>
        <w:t>政策</w:t>
      </w:r>
      <w:r w:rsidR="00CA1092" w:rsidRPr="007A5B3D">
        <w:rPr>
          <w:rFonts w:ascii="仿宋_GB2312" w:eastAsia="仿宋_GB2312" w:hAnsiTheme="minorEastAsia" w:hint="eastAsia"/>
          <w:sz w:val="28"/>
          <w:szCs w:val="28"/>
        </w:rPr>
        <w:t>具有重要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意义。</w:t>
      </w:r>
    </w:p>
    <w:p w:rsidR="003E6B26" w:rsidRPr="007A5B3D" w:rsidRDefault="003E6B26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3E6B26" w:rsidRPr="007A5B3D" w:rsidRDefault="003E6B26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</w:t>
      </w:r>
      <w:r w:rsidR="00AF3DE0" w:rsidRPr="007A5B3D">
        <w:rPr>
          <w:rFonts w:ascii="仿宋_GB2312" w:eastAsia="仿宋_GB2312" w:hAnsiTheme="minorEastAsia" w:hint="eastAsia"/>
          <w:sz w:val="28"/>
          <w:szCs w:val="28"/>
        </w:rPr>
        <w:t>、主要发达国家和中等收入国家的收入再分配政策沿革过程</w:t>
      </w:r>
      <w:r w:rsidR="00170424" w:rsidRPr="007A5B3D">
        <w:rPr>
          <w:rFonts w:ascii="仿宋_GB2312" w:eastAsia="仿宋_GB2312" w:hAnsiTheme="minorEastAsia" w:hint="eastAsia"/>
          <w:sz w:val="28"/>
          <w:szCs w:val="28"/>
        </w:rPr>
        <w:t>及</w:t>
      </w:r>
      <w:r w:rsidRPr="007A5B3D">
        <w:rPr>
          <w:rFonts w:ascii="仿宋_GB2312" w:eastAsia="仿宋_GB2312" w:hAnsiTheme="minorEastAsia" w:hint="eastAsia"/>
          <w:sz w:val="28"/>
          <w:szCs w:val="28"/>
        </w:rPr>
        <w:t>相关研究文献的梳理；</w:t>
      </w:r>
    </w:p>
    <w:p w:rsidR="00170424" w:rsidRPr="007A5B3D" w:rsidRDefault="0017042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主要发达国家和中等收入国家的收入再分配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政策的决定因素分析和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政策效果分析；</w:t>
      </w:r>
    </w:p>
    <w:p w:rsidR="00170424" w:rsidRPr="007A5B3D" w:rsidRDefault="0017042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3、中国收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入再分配政策</w:t>
      </w:r>
      <w:r w:rsidRPr="007A5B3D">
        <w:rPr>
          <w:rFonts w:ascii="仿宋_GB2312" w:eastAsia="仿宋_GB2312" w:hAnsiTheme="minorEastAsia" w:hint="eastAsia"/>
          <w:sz w:val="28"/>
          <w:szCs w:val="28"/>
        </w:rPr>
        <w:t>对初次分配的影响程度分析。</w:t>
      </w:r>
    </w:p>
    <w:p w:rsidR="003E6B26" w:rsidRPr="007A5B3D" w:rsidRDefault="0017042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4、借鉴国际经验，结合具体国情，提出完善中</w:t>
      </w:r>
      <w:r w:rsidR="00AF3DE0" w:rsidRPr="007A5B3D">
        <w:rPr>
          <w:rFonts w:ascii="仿宋_GB2312" w:eastAsia="仿宋_GB2312" w:hAnsiTheme="minorEastAsia" w:hint="eastAsia"/>
          <w:sz w:val="28"/>
          <w:szCs w:val="28"/>
        </w:rPr>
        <w:t>国收入再分配政策</w:t>
      </w:r>
      <w:r w:rsidR="003E6B26" w:rsidRPr="007A5B3D">
        <w:rPr>
          <w:rFonts w:ascii="仿宋_GB2312" w:eastAsia="仿宋_GB2312" w:hAnsiTheme="minorEastAsia" w:hint="eastAsia"/>
          <w:sz w:val="28"/>
          <w:szCs w:val="28"/>
        </w:rPr>
        <w:t>的建议。</w:t>
      </w:r>
    </w:p>
    <w:p w:rsidR="00295240" w:rsidRPr="007A5B3D" w:rsidRDefault="00295240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170424" w:rsidRPr="007A5B3D" w:rsidRDefault="00170424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五、</w:t>
      </w:r>
      <w:r w:rsidRPr="007A5B3D">
        <w:rPr>
          <w:rFonts w:ascii="仿宋_GB2312" w:eastAsia="仿宋_GB2312" w:hAnsiTheme="minorEastAsia" w:cs="宋体" w:hint="eastAsia"/>
          <w:b/>
          <w:sz w:val="28"/>
          <w:szCs w:val="28"/>
        </w:rPr>
        <w:t>农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村</w:t>
      </w:r>
      <w:r w:rsidRPr="007A5B3D">
        <w:rPr>
          <w:rFonts w:ascii="仿宋_GB2312" w:eastAsia="仿宋_GB2312" w:hAnsiTheme="minorEastAsia" w:cs="宋体" w:hint="eastAsia"/>
          <w:b/>
          <w:sz w:val="28"/>
          <w:szCs w:val="28"/>
        </w:rPr>
        <w:t>产权制度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改革与</w:t>
      </w:r>
      <w:r w:rsidRPr="007A5B3D">
        <w:rPr>
          <w:rFonts w:ascii="仿宋_GB2312" w:eastAsia="仿宋_GB2312" w:hAnsiTheme="minorEastAsia" w:cs="宋体" w:hint="eastAsia"/>
          <w:b/>
          <w:sz w:val="28"/>
          <w:szCs w:val="28"/>
        </w:rPr>
        <w:t>经营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方式</w:t>
      </w:r>
      <w:r w:rsidRPr="007A5B3D">
        <w:rPr>
          <w:rFonts w:ascii="仿宋_GB2312" w:eastAsia="仿宋_GB2312" w:hAnsiTheme="minorEastAsia" w:cs="宋体" w:hint="eastAsia"/>
          <w:b/>
          <w:sz w:val="28"/>
          <w:szCs w:val="28"/>
        </w:rPr>
        <w:t>创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新（</w:t>
      </w:r>
      <w:r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资助金额</w:t>
      </w:r>
      <w:r w:rsidR="00E74563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15</w:t>
      </w:r>
      <w:r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万元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）</w:t>
      </w:r>
    </w:p>
    <w:p w:rsidR="00170424" w:rsidRPr="007A5B3D" w:rsidRDefault="00AF3DE0" w:rsidP="00E74563">
      <w:pPr>
        <w:spacing w:line="500" w:lineRule="exact"/>
        <w:ind w:firstLineChars="200" w:firstLine="560"/>
        <w:rPr>
          <w:rFonts w:ascii="仿宋_GB2312" w:eastAsia="仿宋_GB2312" w:hAnsiTheme="minorEastAsia" w:cs="宋体" w:hint="eastAsia"/>
          <w:sz w:val="28"/>
          <w:szCs w:val="28"/>
        </w:rPr>
      </w:pPr>
      <w:r w:rsidRPr="007A5B3D">
        <w:rPr>
          <w:rFonts w:ascii="仿宋_GB2312" w:eastAsia="仿宋_GB2312" w:hAnsiTheme="minorEastAsia" w:cs="宋体" w:hint="eastAsia"/>
          <w:sz w:val="28"/>
          <w:szCs w:val="28"/>
        </w:rPr>
        <w:t>农村产权制度改革是释放农村资源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潜力的关键环节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，关系经济结构调整与转型升级，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。推进农村产权制度改革既面临着各种现实约束条件，也存在若干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理论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争议。</w:t>
      </w:r>
      <w:r w:rsidR="00CA1092" w:rsidRPr="007A5B3D">
        <w:rPr>
          <w:rFonts w:ascii="仿宋_GB2312" w:eastAsia="仿宋_GB2312" w:hAnsiTheme="minorEastAsia" w:cs="宋体" w:hint="eastAsia"/>
          <w:sz w:val="28"/>
          <w:szCs w:val="28"/>
        </w:rPr>
        <w:t>本课题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以农村土地产权改革为重点，强调土地产权对经营方式创新的前提性作用，并用经营方式创新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案例论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lastRenderedPageBreak/>
        <w:t>证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农村土地产权改革的必要性与重要意义。</w:t>
      </w:r>
    </w:p>
    <w:p w:rsidR="00CA1092" w:rsidRPr="007A5B3D" w:rsidRDefault="00CA1092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170424" w:rsidRPr="007A5B3D" w:rsidRDefault="00CA1092" w:rsidP="00E74563">
      <w:pPr>
        <w:spacing w:line="500" w:lineRule="exact"/>
        <w:ind w:firstLineChars="200" w:firstLine="560"/>
        <w:rPr>
          <w:rFonts w:ascii="仿宋_GB2312" w:eastAsia="仿宋_GB2312" w:hAnsiTheme="minorEastAsia" w:cs="宋体" w:hint="eastAsia"/>
          <w:sz w:val="28"/>
          <w:szCs w:val="28"/>
        </w:rPr>
      </w:pPr>
      <w:r w:rsidRPr="007A5B3D">
        <w:rPr>
          <w:rFonts w:ascii="仿宋_GB2312" w:eastAsia="仿宋_GB2312" w:hAnsiTheme="minorEastAsia" w:cs="宋体" w:hint="eastAsia"/>
          <w:sz w:val="28"/>
          <w:szCs w:val="28"/>
        </w:rPr>
        <w:t>1、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以案例综合分析为基础，揭示土地产权改革对释放农村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土地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资源潜力和经营方式创新的作用与影响。</w:t>
      </w:r>
    </w:p>
    <w:p w:rsidR="00170424" w:rsidRPr="007A5B3D" w:rsidRDefault="00CA1092" w:rsidP="00E74563">
      <w:pPr>
        <w:spacing w:line="500" w:lineRule="exact"/>
        <w:ind w:firstLineChars="200" w:firstLine="560"/>
        <w:rPr>
          <w:rFonts w:ascii="仿宋_GB2312" w:eastAsia="仿宋_GB2312" w:hAnsiTheme="minorEastAsia" w:cs="宋体" w:hint="eastAsia"/>
          <w:sz w:val="28"/>
          <w:szCs w:val="28"/>
        </w:rPr>
      </w:pPr>
      <w:r w:rsidRPr="007A5B3D">
        <w:rPr>
          <w:rFonts w:ascii="仿宋_GB2312" w:eastAsia="仿宋_GB2312" w:hAnsiTheme="minorEastAsia" w:cs="宋体" w:hint="eastAsia"/>
          <w:sz w:val="28"/>
          <w:szCs w:val="28"/>
        </w:rPr>
        <w:t>2、</w:t>
      </w:r>
      <w:r w:rsidR="00AF3DE0" w:rsidRPr="007A5B3D">
        <w:rPr>
          <w:rFonts w:ascii="仿宋_GB2312" w:eastAsia="仿宋_GB2312" w:hAnsiTheme="minorEastAsia" w:cs="宋体" w:hint="eastAsia"/>
          <w:sz w:val="28"/>
          <w:szCs w:val="28"/>
        </w:rPr>
        <w:t>通过案例分析回答有关农村产权改革的一些争议。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例如，如果没有农村产权改革，</w:t>
      </w:r>
      <w:r w:rsidR="00AF3DE0" w:rsidRPr="007A5B3D">
        <w:rPr>
          <w:rFonts w:ascii="仿宋_GB2312" w:eastAsia="仿宋_GB2312" w:hAnsiTheme="minorEastAsia" w:cs="宋体" w:hint="eastAsia"/>
          <w:sz w:val="28"/>
          <w:szCs w:val="28"/>
        </w:rPr>
        <w:t>农业经营方式创新是否难以实现或受很大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约束；检验农村土地产权改革</w:t>
      </w:r>
      <w:r w:rsidR="00AF3DE0" w:rsidRPr="007A5B3D">
        <w:rPr>
          <w:rFonts w:ascii="仿宋_GB2312" w:eastAsia="仿宋_GB2312" w:hAnsiTheme="minorEastAsia" w:cs="宋体" w:hint="eastAsia"/>
          <w:sz w:val="28"/>
          <w:szCs w:val="28"/>
        </w:rPr>
        <w:t>的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必要性与合理性；</w:t>
      </w:r>
      <w:r w:rsidR="00AF3DE0" w:rsidRPr="007A5B3D">
        <w:rPr>
          <w:rFonts w:ascii="仿宋_GB2312" w:eastAsia="仿宋_GB2312" w:hAnsiTheme="minorEastAsia" w:cs="宋体" w:hint="eastAsia"/>
          <w:sz w:val="28"/>
          <w:szCs w:val="28"/>
        </w:rPr>
        <w:t>列举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案例的普遍意义与特殊性等。</w:t>
      </w:r>
    </w:p>
    <w:p w:rsidR="00170424" w:rsidRPr="007A5B3D" w:rsidRDefault="00CA1092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cs="宋体" w:hint="eastAsia"/>
          <w:sz w:val="28"/>
          <w:szCs w:val="28"/>
        </w:rPr>
        <w:t>3、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以案例分析为依托，提出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农村产权制度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改革与创新成功的要</w:t>
      </w:r>
      <w:r w:rsidRPr="007A5B3D">
        <w:rPr>
          <w:rFonts w:ascii="仿宋_GB2312" w:eastAsia="仿宋_GB2312" w:hAnsiTheme="minorEastAsia" w:cs="宋体" w:hint="eastAsia"/>
          <w:sz w:val="28"/>
          <w:szCs w:val="28"/>
        </w:rPr>
        <w:t>点、难点以及可行的思路、对策</w:t>
      </w:r>
      <w:r w:rsidR="00170424" w:rsidRPr="007A5B3D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:rsidR="00295240" w:rsidRPr="007A5B3D" w:rsidRDefault="00295240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CA1092" w:rsidRPr="007A5B3D" w:rsidRDefault="00CA1092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kern w:val="0"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六、</w:t>
      </w:r>
      <w:r w:rsidR="00D1069D" w:rsidRPr="007A5B3D">
        <w:rPr>
          <w:rFonts w:ascii="仿宋_GB2312" w:eastAsia="仿宋_GB2312" w:hAnsiTheme="minorEastAsia" w:hint="eastAsia"/>
          <w:b/>
          <w:sz w:val="28"/>
          <w:szCs w:val="28"/>
        </w:rPr>
        <w:t>建立新型的粮食安全观研究（</w:t>
      </w:r>
      <w:r w:rsidR="00D1069D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资助金额</w:t>
      </w:r>
      <w:r w:rsidR="00E74563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15</w:t>
      </w:r>
      <w:r w:rsidR="00D1069D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万元）</w:t>
      </w:r>
    </w:p>
    <w:p w:rsidR="00D1069D" w:rsidRPr="007A5B3D" w:rsidRDefault="00D1069D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kern w:val="0"/>
          <w:sz w:val="28"/>
          <w:szCs w:val="28"/>
        </w:rPr>
      </w:pPr>
      <w:r w:rsidRPr="007A5B3D">
        <w:rPr>
          <w:rFonts w:ascii="仿宋_GB2312" w:eastAsia="仿宋_GB2312" w:hAnsiTheme="minorEastAsia" w:hint="eastAsia"/>
          <w:kern w:val="0"/>
          <w:sz w:val="28"/>
          <w:szCs w:val="28"/>
        </w:rPr>
        <w:t>中国粮食总量连续12年增产，但在新形势下，面临的问题依然十分严峻。一些国际粮</w:t>
      </w:r>
      <w:r w:rsidR="00AF3DE0" w:rsidRPr="007A5B3D">
        <w:rPr>
          <w:rFonts w:ascii="仿宋_GB2312" w:eastAsia="仿宋_GB2312" w:hAnsiTheme="minorEastAsia" w:hint="eastAsia"/>
          <w:kern w:val="0"/>
          <w:sz w:val="28"/>
          <w:szCs w:val="28"/>
        </w:rPr>
        <w:t>食品种到岸价低于国内市场价，进口粮进入市场，国产粮入了库存，粮食的自给率下降。为保粮食总量增产，多年来过多</w:t>
      </w:r>
      <w:r w:rsidRPr="007A5B3D">
        <w:rPr>
          <w:rFonts w:ascii="仿宋_GB2312" w:eastAsia="仿宋_GB2312" w:hAnsiTheme="minorEastAsia" w:hint="eastAsia"/>
          <w:kern w:val="0"/>
          <w:sz w:val="28"/>
          <w:szCs w:val="28"/>
        </w:rPr>
        <w:t>使用化肥、农药、水资源，致使土地污染、水土流失严重。</w:t>
      </w:r>
      <w:r w:rsidR="001317DF" w:rsidRPr="007A5B3D">
        <w:rPr>
          <w:rFonts w:ascii="仿宋_GB2312" w:eastAsia="仿宋_GB2312" w:hAnsiTheme="minorEastAsia" w:hint="eastAsia"/>
          <w:kern w:val="0"/>
          <w:sz w:val="28"/>
          <w:szCs w:val="28"/>
        </w:rPr>
        <w:t>此外，</w:t>
      </w:r>
      <w:r w:rsidR="00AF3DE0" w:rsidRPr="007A5B3D">
        <w:rPr>
          <w:rFonts w:ascii="仿宋_GB2312" w:eastAsia="仿宋_GB2312" w:hAnsiTheme="minorEastAsia" w:hint="eastAsia"/>
          <w:kern w:val="0"/>
          <w:sz w:val="28"/>
          <w:szCs w:val="28"/>
        </w:rPr>
        <w:t>从事粮食生产的劳动力十分老化，很多地方的粮食生产方式</w:t>
      </w:r>
      <w:r w:rsidRPr="007A5B3D">
        <w:rPr>
          <w:rFonts w:ascii="仿宋_GB2312" w:eastAsia="仿宋_GB2312" w:hAnsiTheme="minorEastAsia" w:hint="eastAsia"/>
          <w:kern w:val="0"/>
          <w:sz w:val="28"/>
          <w:szCs w:val="28"/>
        </w:rPr>
        <w:t>相当落后。</w:t>
      </w:r>
    </w:p>
    <w:p w:rsidR="001317DF" w:rsidRPr="007A5B3D" w:rsidRDefault="001317DF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1317DF" w:rsidRPr="007A5B3D" w:rsidRDefault="001317DF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1、正确处理国际粮价与国内粮价的关系，</w:t>
      </w:r>
      <w:r w:rsidR="00030EF4" w:rsidRPr="007A5B3D">
        <w:rPr>
          <w:rFonts w:ascii="仿宋_GB2312" w:eastAsia="仿宋_GB2312" w:hAnsiTheme="minorEastAsia" w:hint="eastAsia"/>
          <w:sz w:val="28"/>
          <w:szCs w:val="28"/>
        </w:rPr>
        <w:t>确定合理的粮食自给率</w:t>
      </w:r>
      <w:r w:rsidRPr="007A5B3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1069D" w:rsidRPr="007A5B3D" w:rsidRDefault="001317DF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</w:t>
      </w:r>
      <w:r w:rsidR="00030EF4" w:rsidRPr="007A5B3D">
        <w:rPr>
          <w:rFonts w:ascii="仿宋_GB2312" w:eastAsia="仿宋_GB2312" w:hAnsiTheme="minorEastAsia" w:hint="eastAsia"/>
          <w:sz w:val="28"/>
          <w:szCs w:val="28"/>
        </w:rPr>
        <w:t>正确处理粮食储备与粮食市场之间的关系</w:t>
      </w:r>
      <w:r w:rsidR="00CF560F" w:rsidRPr="007A5B3D">
        <w:rPr>
          <w:rFonts w:ascii="仿宋_GB2312" w:eastAsia="仿宋_GB2312" w:hAnsiTheme="minorEastAsia" w:hint="eastAsia"/>
          <w:sz w:val="28"/>
          <w:szCs w:val="28"/>
        </w:rPr>
        <w:t>，提出</w:t>
      </w:r>
      <w:r w:rsidR="00030EF4" w:rsidRPr="007A5B3D">
        <w:rPr>
          <w:rFonts w:ascii="仿宋_GB2312" w:eastAsia="仿宋_GB2312" w:hAnsiTheme="minorEastAsia" w:hint="eastAsia"/>
          <w:sz w:val="28"/>
          <w:szCs w:val="28"/>
        </w:rPr>
        <w:t>合理的粮食储备政策</w:t>
      </w:r>
      <w:r w:rsidR="00CF560F" w:rsidRPr="007A5B3D">
        <w:rPr>
          <w:rFonts w:ascii="仿宋_GB2312" w:eastAsia="仿宋_GB2312" w:hAnsiTheme="minorEastAsia" w:hint="eastAsia"/>
          <w:sz w:val="28"/>
          <w:szCs w:val="28"/>
        </w:rPr>
        <w:t>建议</w:t>
      </w:r>
      <w:r w:rsidR="00030EF4" w:rsidRPr="007A5B3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030EF4" w:rsidRPr="007A5B3D" w:rsidRDefault="00030EF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3、正确处理粮食生产的投入产出关系，发展绿色农业，减少化肥、农药的投入，节约用水，提高粮食投入产出比，降低农产品运输成本，缩小国内外农产品价差。</w:t>
      </w:r>
    </w:p>
    <w:p w:rsidR="00030EF4" w:rsidRPr="007A5B3D" w:rsidRDefault="00030EF4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4、提出推动土地规模化经营，提高农业劳动力素质的</w:t>
      </w:r>
      <w:r w:rsidR="00167DA4" w:rsidRPr="007A5B3D">
        <w:rPr>
          <w:rFonts w:ascii="仿宋_GB2312" w:eastAsia="仿宋_GB2312" w:hAnsiTheme="minorEastAsia" w:hint="eastAsia"/>
          <w:sz w:val="28"/>
          <w:szCs w:val="28"/>
        </w:rPr>
        <w:t>思路和建</w:t>
      </w:r>
      <w:r w:rsidR="00167DA4" w:rsidRPr="007A5B3D">
        <w:rPr>
          <w:rFonts w:ascii="仿宋_GB2312" w:eastAsia="仿宋_GB2312" w:hAnsiTheme="minorEastAsia" w:hint="eastAsia"/>
          <w:sz w:val="28"/>
          <w:szCs w:val="28"/>
        </w:rPr>
        <w:lastRenderedPageBreak/>
        <w:t>议</w:t>
      </w:r>
      <w:r w:rsidRPr="007A5B3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95240" w:rsidRPr="007A5B3D" w:rsidRDefault="00295240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CF560F" w:rsidRPr="007A5B3D" w:rsidRDefault="00CF560F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color w:val="333333"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七、</w:t>
      </w:r>
      <w:r w:rsidRPr="007A5B3D">
        <w:rPr>
          <w:rFonts w:ascii="仿宋_GB2312" w:eastAsia="仿宋_GB2312" w:hAnsiTheme="minorEastAsia" w:hint="eastAsia"/>
          <w:b/>
          <w:color w:val="333333"/>
          <w:sz w:val="28"/>
          <w:szCs w:val="28"/>
        </w:rPr>
        <w:t>去产能的国际比较研究与机制设计</w:t>
      </w:r>
      <w:r w:rsidR="005E6CCE" w:rsidRPr="007A5B3D">
        <w:rPr>
          <w:rFonts w:ascii="仿宋_GB2312" w:eastAsia="仿宋_GB2312" w:hAnsiTheme="minorEastAsia" w:hint="eastAsia"/>
          <w:b/>
          <w:color w:val="333333"/>
          <w:sz w:val="28"/>
          <w:szCs w:val="28"/>
        </w:rPr>
        <w:t>（</w:t>
      </w:r>
      <w:r w:rsidR="005E6CCE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资助金额</w:t>
      </w:r>
      <w:r w:rsidR="00E74563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15</w:t>
      </w:r>
      <w:r w:rsidR="005E6CCE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万元）</w:t>
      </w:r>
    </w:p>
    <w:p w:rsidR="008C540B" w:rsidRPr="007A5B3D" w:rsidRDefault="008C540B" w:rsidP="00E74563">
      <w:pPr>
        <w:spacing w:line="500" w:lineRule="exact"/>
        <w:ind w:firstLine="585"/>
        <w:jc w:val="left"/>
        <w:rPr>
          <w:rFonts w:ascii="仿宋_GB2312" w:eastAsia="仿宋_GB2312" w:hAnsiTheme="minorEastAsia" w:hint="eastAsia"/>
          <w:color w:val="333333"/>
          <w:sz w:val="28"/>
          <w:szCs w:val="28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中国在过去十多年中经历了两次较大的经济过热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，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过渡投资导致大量过剩产能。发达国家在过去一两百年间经历了多次经济周期，都是产能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过剩的危机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。分析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发达国家历史上产能重组的历史，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借鉴他们解决产能过剩方面积累的经验教训，对解决</w:t>
      </w:r>
      <w:r w:rsidR="004C6A53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当前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中国严峻的去产能任务有借鉴意义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。</w:t>
      </w:r>
    </w:p>
    <w:p w:rsidR="008C540B" w:rsidRPr="007A5B3D" w:rsidRDefault="008C540B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C2174B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1、</w:t>
      </w:r>
      <w:r w:rsidR="006C4048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产能过剩形成的原因与机理。</w:t>
      </w:r>
    </w:p>
    <w:p w:rsidR="00C2174B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2、</w:t>
      </w:r>
      <w:r w:rsidR="006C4048" w:rsidRPr="007A5B3D">
        <w:rPr>
          <w:rFonts w:ascii="仿宋_GB2312" w:eastAsia="仿宋_GB2312" w:hAnsiTheme="minorEastAsia" w:hint="eastAsia"/>
          <w:color w:val="333333"/>
          <w:sz w:val="28"/>
          <w:szCs w:val="28"/>
        </w:rPr>
        <w:t>去产能与产能重组的市场机制与商业模式。</w:t>
      </w:r>
    </w:p>
    <w:p w:rsidR="00C2174B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3、</w:t>
      </w:r>
      <w:r w:rsidR="006C4048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去产能与去杠杆的相互关系。</w:t>
      </w:r>
    </w:p>
    <w:p w:rsidR="00C2174B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4、金融机构在去产能、去杠杆中的作用</w:t>
      </w:r>
      <w:r w:rsidR="006C4048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。</w:t>
      </w:r>
    </w:p>
    <w:p w:rsidR="00C2174B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5、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“龙头企业”</w:t>
      </w:r>
      <w:r w:rsidR="006C4048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在产业重组和产能重组中的作用。</w:t>
      </w:r>
    </w:p>
    <w:p w:rsidR="00CF560F" w:rsidRPr="007A5B3D" w:rsidRDefault="00C2174B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</w:pP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6</w:t>
      </w:r>
      <w:r w:rsidR="004C6A53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、政府在去产能过程中如何更好地发挥作用，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妥善处理去产能可能导致的社会问题，发挥社会保障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的</w:t>
      </w:r>
      <w:r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安全网络</w:t>
      </w:r>
      <w:r w:rsidR="00CF560F" w:rsidRPr="007A5B3D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作用。</w:t>
      </w:r>
    </w:p>
    <w:p w:rsidR="00295240" w:rsidRPr="007A5B3D" w:rsidRDefault="00295240" w:rsidP="00E74563">
      <w:pPr>
        <w:spacing w:line="50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</w:p>
    <w:p w:rsidR="00D63A4F" w:rsidRPr="007A5B3D" w:rsidRDefault="00332387" w:rsidP="00E74563">
      <w:pPr>
        <w:spacing w:line="500" w:lineRule="exact"/>
        <w:ind w:firstLineChars="200" w:firstLine="560"/>
        <w:jc w:val="left"/>
        <w:rPr>
          <w:rFonts w:ascii="仿宋_GB2312" w:eastAsia="仿宋_GB2312" w:hAnsiTheme="majorEastAsia" w:hint="eastAsia"/>
          <w:b/>
          <w:sz w:val="30"/>
          <w:szCs w:val="30"/>
        </w:rPr>
      </w:pPr>
      <w:r w:rsidRPr="007A5B3D">
        <w:rPr>
          <w:rFonts w:ascii="仿宋_GB2312" w:eastAsia="仿宋_GB2312" w:hAnsiTheme="majorEastAsia" w:hint="eastAsia"/>
          <w:sz w:val="28"/>
          <w:szCs w:val="28"/>
        </w:rPr>
        <w:t>八、</w:t>
      </w:r>
      <w:r w:rsidR="00BB4900" w:rsidRPr="007A5B3D">
        <w:rPr>
          <w:rFonts w:ascii="仿宋_GB2312" w:eastAsia="仿宋_GB2312" w:hAnsiTheme="majorEastAsia" w:hint="eastAsia"/>
          <w:b/>
          <w:sz w:val="30"/>
          <w:szCs w:val="30"/>
        </w:rPr>
        <w:t>建立在医疗和教育领域推进移动互联网服务的制度环境（资助金额15万元）</w:t>
      </w:r>
    </w:p>
    <w:p w:rsidR="007A5B3D" w:rsidRPr="007A5B3D" w:rsidRDefault="007A5B3D" w:rsidP="00AC5D37">
      <w:pPr>
        <w:pStyle w:val="a6"/>
        <w:spacing w:line="5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7A5B3D">
        <w:rPr>
          <w:rFonts w:ascii="仿宋_GB2312" w:eastAsia="仿宋_GB2312" w:hAnsi="宋体" w:cs="宋体" w:hint="eastAsia"/>
          <w:sz w:val="28"/>
          <w:szCs w:val="28"/>
        </w:rPr>
        <w:t>中国电子商务发展迅速，成效卓著，但医疗、教育等服务业的电子网络服务还没有长足的进步。国务院提出的有关目标是：医疗、教育、交通等民生领域互联网应用更加丰富，公共服务更加多元，线上线下结合更加紧密，社会服务资源配置不断优化，公众享受到更加公平、高效、优质、便捷的服务。为此，在互联网时代如何解决对各行各业的制约和限制，成为政府体制改革的一个重要问题。只有推动相关体制改革，以开放精神调整政策，才能使居民是的社会享受快捷便利的服务，推动未来我国医疗、教育等行业的健康、高水平、可持续</w:t>
      </w:r>
      <w:r w:rsidRPr="007A5B3D">
        <w:rPr>
          <w:rFonts w:ascii="仿宋_GB2312" w:eastAsia="仿宋_GB2312" w:hAnsi="宋体" w:cs="宋体" w:hint="eastAsia"/>
          <w:sz w:val="28"/>
          <w:szCs w:val="28"/>
        </w:rPr>
        <w:lastRenderedPageBreak/>
        <w:t>发展。</w:t>
      </w:r>
    </w:p>
    <w:p w:rsidR="00295240" w:rsidRPr="00AC5D37" w:rsidRDefault="00295240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本课题研究要点：</w:t>
      </w:r>
    </w:p>
    <w:p w:rsidR="00E74563" w:rsidRPr="00AC5D37" w:rsidRDefault="00E74563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1、互联网医疗与教育服务对这两个领域资源配置的改进，和对弊端的克服；</w:t>
      </w:r>
    </w:p>
    <w:p w:rsidR="00E74563" w:rsidRPr="00AC5D37" w:rsidRDefault="00E74563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2、互联网医疗与教育服务对这两个领域现体制的挑战和竞争；</w:t>
      </w:r>
    </w:p>
    <w:p w:rsidR="00E74563" w:rsidRPr="00AC5D37" w:rsidRDefault="00E74563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3、互联网医疗与教育服务面临的制度障碍；</w:t>
      </w:r>
    </w:p>
    <w:p w:rsidR="00E74563" w:rsidRPr="00AC5D37" w:rsidRDefault="00E74563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4、打破部门管制，通过立法机关立法开放医疗与教育的合理进入；</w:t>
      </w:r>
    </w:p>
    <w:p w:rsidR="00E74563" w:rsidRPr="00AC5D37" w:rsidRDefault="00E74563" w:rsidP="00AC5D3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C5D37">
        <w:rPr>
          <w:rFonts w:ascii="仿宋_GB2312" w:eastAsia="仿宋_GB2312" w:hAnsi="宋体" w:cs="宋体" w:hint="eastAsia"/>
          <w:kern w:val="0"/>
          <w:sz w:val="28"/>
          <w:szCs w:val="28"/>
        </w:rPr>
        <w:t>5、促进互联网医疗与教育服务的其它制度与政策。</w:t>
      </w:r>
    </w:p>
    <w:p w:rsidR="00295240" w:rsidRPr="007A5B3D" w:rsidRDefault="00295240" w:rsidP="00E74563">
      <w:pPr>
        <w:tabs>
          <w:tab w:val="left" w:pos="607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332387" w:rsidRPr="007A5B3D" w:rsidRDefault="00332387" w:rsidP="00E74563">
      <w:pPr>
        <w:tabs>
          <w:tab w:val="left" w:pos="6075"/>
        </w:tabs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九、《劳动合同法》对中国劳动力市场的影响分析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ab/>
        <w:t>（</w:t>
      </w:r>
      <w:r w:rsidR="005E6CCE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 xml:space="preserve">资助金额   </w:t>
      </w:r>
      <w:r w:rsidR="00E74563" w:rsidRPr="007A5B3D">
        <w:rPr>
          <w:rFonts w:ascii="仿宋_GB2312" w:eastAsia="仿宋_GB2312" w:hAnsiTheme="minorEastAsia" w:hint="eastAsia"/>
          <w:b/>
          <w:kern w:val="0"/>
          <w:sz w:val="28"/>
          <w:szCs w:val="28"/>
        </w:rPr>
        <w:t>15万元</w:t>
      </w:r>
      <w:r w:rsidRPr="007A5B3D">
        <w:rPr>
          <w:rFonts w:ascii="仿宋_GB2312" w:eastAsia="仿宋_GB2312" w:hAnsiTheme="minorEastAsia" w:hint="eastAsia"/>
          <w:b/>
          <w:sz w:val="28"/>
          <w:szCs w:val="28"/>
        </w:rPr>
        <w:t>）</w:t>
      </w:r>
    </w:p>
    <w:p w:rsidR="00332387" w:rsidRPr="007A5B3D" w:rsidRDefault="00332387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《劳动合同法》对中国经济增长的影响成为当前经济学界争论的焦点问题之一。但对《劳动合同法》实施前后的劳动力市场变化情况分析不足，对它产生的社会经济效果研究也不够。该课题研究将有助于理解《劳动合同法》的实际作用和澄清当前学术界的一些误区。</w:t>
      </w:r>
    </w:p>
    <w:p w:rsidR="00332387" w:rsidRPr="007A5B3D" w:rsidRDefault="00332387" w:rsidP="00E74563">
      <w:pPr>
        <w:tabs>
          <w:tab w:val="left" w:pos="6315"/>
        </w:tabs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332387" w:rsidRPr="007A5B3D" w:rsidRDefault="00332387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</w:t>
      </w:r>
      <w:r w:rsidR="004C6A53" w:rsidRPr="007A5B3D">
        <w:rPr>
          <w:rFonts w:ascii="仿宋_GB2312" w:eastAsia="仿宋_GB2312" w:hAnsiTheme="minorEastAsia" w:hint="eastAsia"/>
          <w:sz w:val="28"/>
          <w:szCs w:val="28"/>
        </w:rPr>
        <w:t>、《劳动合同法》制定的背景和基本内容，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梳理</w:t>
      </w:r>
      <w:r w:rsidR="006C4048" w:rsidRPr="007A5B3D">
        <w:rPr>
          <w:rFonts w:ascii="仿宋_GB2312" w:eastAsia="仿宋_GB2312" w:hAnsiTheme="minorEastAsia" w:hint="eastAsia"/>
          <w:sz w:val="28"/>
          <w:szCs w:val="28"/>
        </w:rPr>
        <w:t>有关《劳动合同法》争论中的不同观点。</w:t>
      </w:r>
    </w:p>
    <w:p w:rsidR="00332387" w:rsidRPr="007A5B3D" w:rsidRDefault="00332387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2、《劳动合同法》对劳动力市场作用效应的理论</w:t>
      </w:r>
      <w:r w:rsidR="006C4048" w:rsidRPr="007A5B3D">
        <w:rPr>
          <w:rFonts w:ascii="仿宋_GB2312" w:eastAsia="仿宋_GB2312" w:hAnsiTheme="minorEastAsia" w:hint="eastAsia"/>
          <w:sz w:val="28"/>
          <w:szCs w:val="28"/>
        </w:rPr>
        <w:t>分析框架。</w:t>
      </w:r>
    </w:p>
    <w:p w:rsidR="006C4048" w:rsidRPr="007A5B3D" w:rsidRDefault="00332387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3、《劳动合同法》对宏观就业水平和微观</w:t>
      </w:r>
      <w:r w:rsidR="006C4048" w:rsidRPr="007A5B3D">
        <w:rPr>
          <w:rFonts w:ascii="仿宋_GB2312" w:eastAsia="仿宋_GB2312" w:hAnsiTheme="minorEastAsia" w:hint="eastAsia"/>
          <w:sz w:val="28"/>
          <w:szCs w:val="28"/>
        </w:rPr>
        <w:t>企业用工行为的影响。</w:t>
      </w:r>
    </w:p>
    <w:p w:rsidR="006C4048" w:rsidRPr="007A5B3D" w:rsidRDefault="006C4048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4、</w:t>
      </w:r>
      <w:r w:rsidR="00332387" w:rsidRPr="007A5B3D">
        <w:rPr>
          <w:rFonts w:ascii="仿宋_GB2312" w:eastAsia="仿宋_GB2312" w:hAnsiTheme="minorEastAsia" w:hint="eastAsia"/>
          <w:sz w:val="28"/>
          <w:szCs w:val="28"/>
        </w:rPr>
        <w:t>《劳动合同法》对</w:t>
      </w:r>
      <w:r w:rsidRPr="007A5B3D">
        <w:rPr>
          <w:rFonts w:ascii="仿宋_GB2312" w:eastAsia="仿宋_GB2312" w:hAnsiTheme="minorEastAsia" w:hint="eastAsia"/>
          <w:sz w:val="28"/>
          <w:szCs w:val="28"/>
        </w:rPr>
        <w:t>资本收益与劳动报酬格局变动的影响。</w:t>
      </w:r>
    </w:p>
    <w:p w:rsidR="006C4048" w:rsidRPr="007A5B3D" w:rsidRDefault="006C4048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5、</w:t>
      </w:r>
      <w:r w:rsidR="00332387" w:rsidRPr="007A5B3D">
        <w:rPr>
          <w:rFonts w:ascii="仿宋_GB2312" w:eastAsia="仿宋_GB2312" w:hAnsiTheme="minorEastAsia" w:hint="eastAsia"/>
          <w:sz w:val="28"/>
          <w:szCs w:val="28"/>
        </w:rPr>
        <w:t>《劳动合同法》对员工社会</w:t>
      </w:r>
      <w:r w:rsidRPr="007A5B3D">
        <w:rPr>
          <w:rFonts w:ascii="仿宋_GB2312" w:eastAsia="仿宋_GB2312" w:hAnsiTheme="minorEastAsia" w:hint="eastAsia"/>
          <w:sz w:val="28"/>
          <w:szCs w:val="28"/>
        </w:rPr>
        <w:t>保障待遇的影响。</w:t>
      </w:r>
    </w:p>
    <w:p w:rsidR="00332387" w:rsidRPr="007A5B3D" w:rsidRDefault="006C4048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6、在以上分析的基础上，提出进一步完善《劳动合同法》</w:t>
      </w:r>
      <w:r w:rsidR="00332387" w:rsidRPr="007A5B3D">
        <w:rPr>
          <w:rFonts w:ascii="仿宋_GB2312" w:eastAsia="仿宋_GB2312" w:hAnsiTheme="minorEastAsia" w:hint="eastAsia"/>
          <w:sz w:val="28"/>
          <w:szCs w:val="28"/>
        </w:rPr>
        <w:t>的</w:t>
      </w:r>
      <w:r w:rsidRPr="007A5B3D">
        <w:rPr>
          <w:rFonts w:ascii="仿宋_GB2312" w:eastAsia="仿宋_GB2312" w:hAnsiTheme="minorEastAsia" w:hint="eastAsia"/>
          <w:sz w:val="28"/>
          <w:szCs w:val="28"/>
        </w:rPr>
        <w:t>思路和政策</w:t>
      </w:r>
      <w:r w:rsidR="00332387" w:rsidRPr="007A5B3D">
        <w:rPr>
          <w:rFonts w:ascii="仿宋_GB2312" w:eastAsia="仿宋_GB2312" w:hAnsiTheme="minorEastAsia" w:hint="eastAsia"/>
          <w:sz w:val="28"/>
          <w:szCs w:val="28"/>
        </w:rPr>
        <w:t>建议。</w:t>
      </w:r>
    </w:p>
    <w:p w:rsidR="00295240" w:rsidRPr="007A5B3D" w:rsidRDefault="00295240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</w:p>
    <w:p w:rsidR="00D63A4F" w:rsidRPr="007A5B3D" w:rsidRDefault="00D63A4F" w:rsidP="00E74563">
      <w:pPr>
        <w:spacing w:line="500" w:lineRule="exact"/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7A5B3D">
        <w:rPr>
          <w:rFonts w:ascii="仿宋_GB2312" w:eastAsia="仿宋_GB2312" w:hAnsiTheme="minorEastAsia" w:hint="eastAsia"/>
          <w:b/>
          <w:sz w:val="28"/>
          <w:szCs w:val="28"/>
        </w:rPr>
        <w:t>十、保障退休人员基本医疗保险待遇研究</w:t>
      </w:r>
      <w:r w:rsidR="00E74563" w:rsidRPr="007A5B3D">
        <w:rPr>
          <w:rFonts w:ascii="仿宋_GB2312" w:eastAsia="仿宋_GB2312" w:hAnsiTheme="minorEastAsia" w:hint="eastAsia"/>
          <w:b/>
          <w:sz w:val="28"/>
          <w:szCs w:val="28"/>
        </w:rPr>
        <w:t>（资助金额15万元）</w:t>
      </w:r>
    </w:p>
    <w:p w:rsidR="00D63A4F" w:rsidRPr="007A5B3D" w:rsidRDefault="00D63A4F" w:rsidP="00E74563">
      <w:pPr>
        <w:spacing w:line="500" w:lineRule="exact"/>
        <w:ind w:firstLine="57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lastRenderedPageBreak/>
        <w:t>近年来，职工基本医疗保险基金支出增长幅度超过收入增长幅度，也大大高于GDP增长幅度，一些省份已经出现当年收不抵支的情况。现在退休人员已达7000多万，并快速增长。在老年抚养比增加，职工基本医疗保险基金支出</w:t>
      </w:r>
      <w:r w:rsidR="00776F5F" w:rsidRPr="007A5B3D">
        <w:rPr>
          <w:rFonts w:ascii="仿宋_GB2312" w:eastAsia="仿宋_GB2312" w:hAnsiTheme="minorEastAsia" w:hint="eastAsia"/>
          <w:sz w:val="28"/>
          <w:szCs w:val="28"/>
        </w:rPr>
        <w:t>过快增大</w:t>
      </w:r>
      <w:r w:rsidRPr="007A5B3D">
        <w:rPr>
          <w:rFonts w:ascii="仿宋_GB2312" w:eastAsia="仿宋_GB2312" w:hAnsiTheme="minorEastAsia" w:hint="eastAsia"/>
          <w:sz w:val="28"/>
          <w:szCs w:val="28"/>
        </w:rPr>
        <w:t>的双重压力下，如何保障退休人员的基本医疗保险待遇水平，成为当前完善职工基本医疗保险制度的重大问题。</w:t>
      </w:r>
    </w:p>
    <w:p w:rsidR="00D63A4F" w:rsidRPr="007A5B3D" w:rsidRDefault="00D63A4F" w:rsidP="00E74563">
      <w:pPr>
        <w:spacing w:line="500" w:lineRule="exact"/>
        <w:ind w:firstLine="57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本课题研究要点：</w:t>
      </w:r>
    </w:p>
    <w:p w:rsidR="00D63A4F" w:rsidRPr="007A5B3D" w:rsidRDefault="00776F5F" w:rsidP="00E74563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1、</w:t>
      </w:r>
      <w:r w:rsidR="00D63A4F" w:rsidRPr="007A5B3D">
        <w:rPr>
          <w:rFonts w:ascii="仿宋_GB2312" w:eastAsia="仿宋_GB2312" w:hAnsiTheme="minorEastAsia" w:hint="eastAsia"/>
          <w:sz w:val="28"/>
          <w:szCs w:val="28"/>
        </w:rPr>
        <w:t>保障退休人员基本医疗保险</w:t>
      </w:r>
      <w:r w:rsidRPr="007A5B3D">
        <w:rPr>
          <w:rFonts w:ascii="仿宋_GB2312" w:eastAsia="仿宋_GB2312" w:hAnsiTheme="minorEastAsia" w:hint="eastAsia"/>
          <w:sz w:val="28"/>
          <w:szCs w:val="28"/>
        </w:rPr>
        <w:t>待遇水平</w:t>
      </w:r>
      <w:r w:rsidR="00D63A4F" w:rsidRPr="007A5B3D">
        <w:rPr>
          <w:rFonts w:ascii="仿宋_GB2312" w:eastAsia="仿宋_GB2312" w:hAnsiTheme="minorEastAsia" w:hint="eastAsia"/>
          <w:sz w:val="28"/>
          <w:szCs w:val="28"/>
        </w:rPr>
        <w:t>的国际比较研究。</w:t>
      </w:r>
    </w:p>
    <w:p w:rsidR="00D63A4F" w:rsidRPr="007A5B3D" w:rsidRDefault="00776F5F" w:rsidP="00E74563">
      <w:pPr>
        <w:spacing w:line="500" w:lineRule="exact"/>
        <w:ind w:firstLine="57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2、</w:t>
      </w:r>
      <w:r w:rsidR="00AD3089" w:rsidRPr="007A5B3D">
        <w:rPr>
          <w:rFonts w:ascii="仿宋_GB2312" w:eastAsia="仿宋_GB2312" w:hAnsiTheme="minorEastAsia" w:hint="eastAsia"/>
          <w:sz w:val="28"/>
          <w:szCs w:val="28"/>
        </w:rPr>
        <w:t>近年来职工基本医疗保险基金支出的变动情况分析，包括影响因素分析和支出结构分析。</w:t>
      </w:r>
    </w:p>
    <w:p w:rsidR="00776F5F" w:rsidRPr="007A5B3D" w:rsidRDefault="00776F5F" w:rsidP="00E74563">
      <w:pPr>
        <w:spacing w:line="500" w:lineRule="exact"/>
        <w:ind w:firstLine="57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3、</w:t>
      </w:r>
      <w:r w:rsidR="00AD3089" w:rsidRPr="007A5B3D">
        <w:rPr>
          <w:rFonts w:ascii="仿宋_GB2312" w:eastAsia="仿宋_GB2312" w:hAnsiTheme="minorEastAsia" w:hint="eastAsia"/>
          <w:sz w:val="28"/>
          <w:szCs w:val="28"/>
        </w:rPr>
        <w:t>借鉴国际经验，结合中国职工基本医疗保险实践，客观评价中国《社会保险法》关于保障退休人员基本医疗保险待遇的相关条款。</w:t>
      </w:r>
    </w:p>
    <w:p w:rsidR="00776F5F" w:rsidRPr="007A5B3D" w:rsidRDefault="00776F5F" w:rsidP="00E74563">
      <w:pPr>
        <w:spacing w:line="500" w:lineRule="exact"/>
        <w:ind w:firstLine="570"/>
        <w:rPr>
          <w:rFonts w:ascii="仿宋_GB2312" w:eastAsia="仿宋_GB2312" w:hAnsiTheme="minorEastAsia" w:hint="eastAsia"/>
          <w:sz w:val="28"/>
          <w:szCs w:val="28"/>
        </w:rPr>
      </w:pPr>
      <w:r w:rsidRPr="007A5B3D">
        <w:rPr>
          <w:rFonts w:ascii="仿宋_GB2312" w:eastAsia="仿宋_GB2312" w:hAnsiTheme="minorEastAsia" w:hint="eastAsia"/>
          <w:sz w:val="28"/>
          <w:szCs w:val="28"/>
        </w:rPr>
        <w:t>4、提出“十三五”时期保障退休人员基本医疗保险待遇水平的思路和政策建议。</w:t>
      </w:r>
    </w:p>
    <w:p w:rsidR="00332387" w:rsidRPr="007A5B3D" w:rsidRDefault="00332387" w:rsidP="00E74563">
      <w:pPr>
        <w:spacing w:line="500" w:lineRule="exact"/>
        <w:jc w:val="left"/>
        <w:rPr>
          <w:rFonts w:ascii="仿宋_GB2312" w:eastAsia="仿宋_GB2312" w:hAnsiTheme="minorEastAsia" w:hint="eastAsia"/>
          <w:sz w:val="28"/>
          <w:szCs w:val="28"/>
        </w:rPr>
      </w:pPr>
    </w:p>
    <w:sectPr w:rsidR="00332387" w:rsidRPr="007A5B3D" w:rsidSect="00830E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09" w:rsidRDefault="00A82D09" w:rsidP="005E6CCE">
      <w:r>
        <w:separator/>
      </w:r>
    </w:p>
  </w:endnote>
  <w:endnote w:type="continuationSeparator" w:id="0">
    <w:p w:rsidR="00A82D09" w:rsidRDefault="00A82D09" w:rsidP="005E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070463"/>
      <w:docPartObj>
        <w:docPartGallery w:val="Page Numbers (Bottom of Page)"/>
        <w:docPartUnique/>
      </w:docPartObj>
    </w:sdtPr>
    <w:sdtContent>
      <w:p w:rsidR="005E6CCE" w:rsidRDefault="00E052C4">
        <w:pPr>
          <w:pStyle w:val="a5"/>
        </w:pPr>
        <w:r>
          <w:fldChar w:fldCharType="begin"/>
        </w:r>
        <w:r w:rsidR="005E6CCE">
          <w:instrText>PAGE   \* MERGEFORMAT</w:instrText>
        </w:r>
        <w:r>
          <w:fldChar w:fldCharType="separate"/>
        </w:r>
        <w:r w:rsidR="00AC5D37" w:rsidRPr="00AC5D37">
          <w:rPr>
            <w:noProof/>
            <w:lang w:val="zh-CN"/>
          </w:rPr>
          <w:t>1</w:t>
        </w:r>
        <w:r>
          <w:fldChar w:fldCharType="end"/>
        </w:r>
      </w:p>
    </w:sdtContent>
  </w:sdt>
  <w:p w:rsidR="005E6CCE" w:rsidRDefault="005E6CCE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09" w:rsidRDefault="00A82D09" w:rsidP="005E6CCE">
      <w:r>
        <w:separator/>
      </w:r>
    </w:p>
  </w:footnote>
  <w:footnote w:type="continuationSeparator" w:id="0">
    <w:p w:rsidR="00A82D09" w:rsidRDefault="00A82D09" w:rsidP="005E6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4E2"/>
    <w:multiLevelType w:val="hybridMultilevel"/>
    <w:tmpl w:val="5CA2327A"/>
    <w:lvl w:ilvl="0" w:tplc="17FED42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6D64310"/>
    <w:multiLevelType w:val="hybridMultilevel"/>
    <w:tmpl w:val="7966AB92"/>
    <w:lvl w:ilvl="0" w:tplc="D78483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0371BD"/>
    <w:multiLevelType w:val="hybridMultilevel"/>
    <w:tmpl w:val="64A443CA"/>
    <w:lvl w:ilvl="0" w:tplc="16B6877A">
      <w:start w:val="1"/>
      <w:numFmt w:val="decimal"/>
      <w:lvlText w:val="%1、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CC14721"/>
    <w:multiLevelType w:val="hybridMultilevel"/>
    <w:tmpl w:val="1F1CC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F45877"/>
    <w:multiLevelType w:val="hybridMultilevel"/>
    <w:tmpl w:val="1B7CD758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019E4"/>
    <w:multiLevelType w:val="hybridMultilevel"/>
    <w:tmpl w:val="CE5E625E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A70F9B"/>
    <w:multiLevelType w:val="hybridMultilevel"/>
    <w:tmpl w:val="B5061A38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257909"/>
    <w:multiLevelType w:val="hybridMultilevel"/>
    <w:tmpl w:val="60E22AB4"/>
    <w:lvl w:ilvl="0" w:tplc="7946D31A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A840EFA"/>
    <w:multiLevelType w:val="hybridMultilevel"/>
    <w:tmpl w:val="604E2436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9269E1"/>
    <w:multiLevelType w:val="hybridMultilevel"/>
    <w:tmpl w:val="8AAA2B86"/>
    <w:lvl w:ilvl="0" w:tplc="F44224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116543"/>
    <w:multiLevelType w:val="hybridMultilevel"/>
    <w:tmpl w:val="5CFA5040"/>
    <w:lvl w:ilvl="0" w:tplc="A6AA32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A54370"/>
    <w:multiLevelType w:val="hybridMultilevel"/>
    <w:tmpl w:val="E2349688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3576F7"/>
    <w:multiLevelType w:val="hybridMultilevel"/>
    <w:tmpl w:val="C590DDAA"/>
    <w:lvl w:ilvl="0" w:tplc="6344C18C">
      <w:start w:val="1"/>
      <w:numFmt w:val="decimal"/>
      <w:lvlText w:val="%1、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3">
    <w:nsid w:val="52321105"/>
    <w:multiLevelType w:val="hybridMultilevel"/>
    <w:tmpl w:val="46E2B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8A0BA7"/>
    <w:multiLevelType w:val="hybridMultilevel"/>
    <w:tmpl w:val="81807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8B3294"/>
    <w:multiLevelType w:val="hybridMultilevel"/>
    <w:tmpl w:val="49B40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B51C6A"/>
    <w:multiLevelType w:val="hybridMultilevel"/>
    <w:tmpl w:val="6E8A07D6"/>
    <w:lvl w:ilvl="0" w:tplc="0A2E0BB0">
      <w:start w:val="1"/>
      <w:numFmt w:val="decimal"/>
      <w:lvlText w:val="%1、"/>
      <w:lvlJc w:val="left"/>
      <w:pPr>
        <w:ind w:left="13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583E1203"/>
    <w:multiLevelType w:val="hybridMultilevel"/>
    <w:tmpl w:val="7730C966"/>
    <w:lvl w:ilvl="0" w:tplc="7946D3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04274D"/>
    <w:multiLevelType w:val="hybridMultilevel"/>
    <w:tmpl w:val="1110DDDC"/>
    <w:lvl w:ilvl="0" w:tplc="7946D31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6C717DD4"/>
    <w:multiLevelType w:val="hybridMultilevel"/>
    <w:tmpl w:val="987EAEB6"/>
    <w:lvl w:ilvl="0" w:tplc="2862A520">
      <w:start w:val="1"/>
      <w:numFmt w:val="decimal"/>
      <w:lvlText w:val="%1、"/>
      <w:lvlJc w:val="left"/>
      <w:pPr>
        <w:ind w:left="13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19"/>
  </w:num>
  <w:num w:numId="15">
    <w:abstractNumId w:val="2"/>
  </w:num>
  <w:num w:numId="16">
    <w:abstractNumId w:val="12"/>
  </w:num>
  <w:num w:numId="17">
    <w:abstractNumId w:val="1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62B"/>
    <w:rsid w:val="00030EF4"/>
    <w:rsid w:val="0007488D"/>
    <w:rsid w:val="00084611"/>
    <w:rsid w:val="001317DF"/>
    <w:rsid w:val="00167DA4"/>
    <w:rsid w:val="00170424"/>
    <w:rsid w:val="00196056"/>
    <w:rsid w:val="00207E74"/>
    <w:rsid w:val="00295240"/>
    <w:rsid w:val="002D3B76"/>
    <w:rsid w:val="00332387"/>
    <w:rsid w:val="00333126"/>
    <w:rsid w:val="003E6B26"/>
    <w:rsid w:val="00474ECD"/>
    <w:rsid w:val="004C6A53"/>
    <w:rsid w:val="0056362B"/>
    <w:rsid w:val="005E6CCE"/>
    <w:rsid w:val="0067509F"/>
    <w:rsid w:val="006C4048"/>
    <w:rsid w:val="006E3931"/>
    <w:rsid w:val="00741239"/>
    <w:rsid w:val="00776F5F"/>
    <w:rsid w:val="007A313F"/>
    <w:rsid w:val="007A5B3D"/>
    <w:rsid w:val="00823289"/>
    <w:rsid w:val="00830EFA"/>
    <w:rsid w:val="0083169F"/>
    <w:rsid w:val="008B016A"/>
    <w:rsid w:val="008C540B"/>
    <w:rsid w:val="009E7B8B"/>
    <w:rsid w:val="00A82D09"/>
    <w:rsid w:val="00AC5D37"/>
    <w:rsid w:val="00AD3089"/>
    <w:rsid w:val="00AF3DE0"/>
    <w:rsid w:val="00B46241"/>
    <w:rsid w:val="00BB4900"/>
    <w:rsid w:val="00C2174B"/>
    <w:rsid w:val="00CA1092"/>
    <w:rsid w:val="00CF560F"/>
    <w:rsid w:val="00D1069D"/>
    <w:rsid w:val="00D3503A"/>
    <w:rsid w:val="00D63A4F"/>
    <w:rsid w:val="00DE3DBA"/>
    <w:rsid w:val="00E052C4"/>
    <w:rsid w:val="00E74563"/>
    <w:rsid w:val="00EF098B"/>
    <w:rsid w:val="00EF2880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1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6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6CCE"/>
    <w:rPr>
      <w:sz w:val="18"/>
      <w:szCs w:val="18"/>
    </w:rPr>
  </w:style>
  <w:style w:type="paragraph" w:styleId="a6">
    <w:name w:val="Plain Text"/>
    <w:basedOn w:val="a"/>
    <w:link w:val="Char1"/>
    <w:rsid w:val="007A5B3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7A5B3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1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6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6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2016-02-29T01:22:00Z</cp:lastPrinted>
  <dcterms:created xsi:type="dcterms:W3CDTF">2016-02-29T01:22:00Z</dcterms:created>
  <dcterms:modified xsi:type="dcterms:W3CDTF">2016-02-29T03:19:00Z</dcterms:modified>
</cp:coreProperties>
</file>